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2C30" w14:textId="77777777" w:rsidR="00C36D92" w:rsidRPr="00AD3F9E" w:rsidRDefault="00C36D92" w:rsidP="00C36D92">
      <w:pPr>
        <w:pStyle w:val="Title"/>
        <w:rPr>
          <w:rFonts w:ascii="Arial Black" w:hAnsi="Arial Black" w:cs="Tahoma"/>
          <w:sz w:val="32"/>
          <w:szCs w:val="32"/>
        </w:rPr>
      </w:pPr>
      <w:bookmarkStart w:id="0" w:name="_GoBack"/>
      <w:bookmarkEnd w:id="0"/>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16FF8CD5" w14:textId="77777777" w:rsidR="00C36D92" w:rsidRPr="00AD3F9E" w:rsidRDefault="00C36D92" w:rsidP="00C36D92">
      <w:pPr>
        <w:jc w:val="center"/>
        <w:rPr>
          <w:rFonts w:ascii="Trebuchet MS" w:hAnsi="Trebuchet MS" w:cs="Tahoma"/>
          <w:b/>
          <w:bCs/>
          <w:szCs w:val="24"/>
          <w:u w:val="single"/>
        </w:rPr>
      </w:pPr>
    </w:p>
    <w:p w14:paraId="49841673" w14:textId="55083BB5" w:rsidR="00C36D92" w:rsidRPr="0094622E" w:rsidRDefault="00C36D92" w:rsidP="00C36D92">
      <w:pPr>
        <w:jc w:val="center"/>
        <w:rPr>
          <w:rFonts w:ascii="Arial" w:hAnsi="Arial" w:cs="Arial"/>
          <w:b/>
          <w:bCs/>
          <w:spacing w:val="20"/>
          <w:w w:val="150"/>
          <w:sz w:val="28"/>
          <w:szCs w:val="28"/>
        </w:rPr>
      </w:pPr>
      <w:r w:rsidRPr="0094622E">
        <w:rPr>
          <w:rFonts w:ascii="Arial" w:hAnsi="Arial" w:cs="Arial"/>
          <w:b/>
          <w:bCs/>
          <w:spacing w:val="20"/>
          <w:w w:val="150"/>
          <w:sz w:val="28"/>
          <w:szCs w:val="28"/>
        </w:rPr>
        <w:t>HOTĂRÂREA Nr.</w:t>
      </w:r>
      <w:r w:rsidR="00A51F01" w:rsidRPr="0094622E">
        <w:rPr>
          <w:rFonts w:ascii="Arial" w:hAnsi="Arial" w:cs="Arial"/>
          <w:b/>
          <w:bCs/>
          <w:spacing w:val="20"/>
          <w:w w:val="150"/>
          <w:sz w:val="28"/>
          <w:szCs w:val="28"/>
        </w:rPr>
        <w:t xml:space="preserve"> </w:t>
      </w:r>
      <w:r w:rsidR="0094622E" w:rsidRPr="0094622E">
        <w:rPr>
          <w:rFonts w:ascii="Arial" w:hAnsi="Arial" w:cs="Arial"/>
          <w:b/>
          <w:bCs/>
          <w:spacing w:val="20"/>
          <w:w w:val="150"/>
          <w:sz w:val="28"/>
          <w:szCs w:val="28"/>
        </w:rPr>
        <w:t>230</w:t>
      </w:r>
      <w:r w:rsidRPr="0094622E">
        <w:rPr>
          <w:rFonts w:ascii="Arial" w:hAnsi="Arial" w:cs="Arial"/>
          <w:b/>
          <w:bCs/>
          <w:spacing w:val="20"/>
          <w:w w:val="150"/>
          <w:sz w:val="28"/>
          <w:szCs w:val="28"/>
        </w:rPr>
        <w:t>/</w:t>
      </w:r>
      <w:r w:rsidR="0094622E" w:rsidRPr="0094622E">
        <w:rPr>
          <w:rFonts w:ascii="Arial" w:hAnsi="Arial" w:cs="Arial"/>
          <w:b/>
          <w:bCs/>
          <w:spacing w:val="20"/>
          <w:w w:val="150"/>
          <w:sz w:val="28"/>
          <w:szCs w:val="28"/>
        </w:rPr>
        <w:t xml:space="preserve">10-11 decembrie </w:t>
      </w:r>
      <w:r w:rsidRPr="0094622E">
        <w:rPr>
          <w:rFonts w:ascii="Arial" w:hAnsi="Arial" w:cs="Arial"/>
          <w:b/>
          <w:bCs/>
          <w:spacing w:val="20"/>
          <w:w w:val="150"/>
          <w:sz w:val="28"/>
          <w:szCs w:val="28"/>
        </w:rPr>
        <w:t>2021</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42D29D78"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94622E">
        <w:rPr>
          <w:rFonts w:ascii="Arial" w:hAnsi="Arial" w:cs="Arial"/>
          <w:b/>
          <w:sz w:val="28"/>
          <w:szCs w:val="28"/>
        </w:rPr>
        <w:t>aprilie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22</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72A3DDD0" w14:textId="77777777" w:rsidR="00D2380A" w:rsidRDefault="00D2380A" w:rsidP="00C36D92">
      <w:pPr>
        <w:pStyle w:val="BodyText"/>
        <w:spacing w:line="240" w:lineRule="auto"/>
        <w:rPr>
          <w:rFonts w:ascii="Arial" w:hAnsi="Arial" w:cs="Arial"/>
          <w:sz w:val="24"/>
          <w:szCs w:val="24"/>
        </w:rPr>
      </w:pPr>
    </w:p>
    <w:p w14:paraId="13815C1E" w14:textId="77777777" w:rsidR="00D2380A" w:rsidRDefault="00D2380A" w:rsidP="00C36D92">
      <w:pPr>
        <w:pStyle w:val="BodyText"/>
        <w:spacing w:line="240" w:lineRule="auto"/>
        <w:rPr>
          <w:rFonts w:ascii="Arial" w:hAnsi="Arial" w:cs="Arial"/>
          <w:sz w:val="24"/>
          <w:szCs w:val="24"/>
        </w:rPr>
      </w:pPr>
    </w:p>
    <w:p w14:paraId="49FA793A" w14:textId="77777777" w:rsidR="00C36D92" w:rsidRPr="00AD3F9E" w:rsidRDefault="00C36D92" w:rsidP="00C36D92">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3085ADF4" w:rsidR="00C36D92" w:rsidRPr="00AD3F9E" w:rsidRDefault="00C36D92" w:rsidP="00C36D92">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94622E">
        <w:rPr>
          <w:rFonts w:ascii="Arial" w:hAnsi="Arial" w:cs="Arial"/>
          <w:sz w:val="24"/>
          <w:szCs w:val="24"/>
        </w:rPr>
        <w:t>10-11 decembrie</w:t>
      </w:r>
      <w:r>
        <w:rPr>
          <w:rFonts w:ascii="Arial" w:hAnsi="Arial" w:cs="Arial"/>
          <w:sz w:val="24"/>
          <w:szCs w:val="24"/>
        </w:rPr>
        <w:t xml:space="preserve"> 20</w:t>
      </w:r>
      <w:r w:rsidR="00551DA1">
        <w:rPr>
          <w:rFonts w:ascii="Arial" w:hAnsi="Arial" w:cs="Arial"/>
          <w:sz w:val="24"/>
          <w:szCs w:val="24"/>
        </w:rPr>
        <w:t>2</w:t>
      </w:r>
      <w:r>
        <w:rPr>
          <w:rFonts w:ascii="Arial" w:hAnsi="Arial" w:cs="Arial"/>
          <w:sz w:val="24"/>
          <w:szCs w:val="24"/>
        </w:rPr>
        <w:t>1</w:t>
      </w:r>
      <w:r w:rsidRPr="00AD3F9E">
        <w:rPr>
          <w:rFonts w:ascii="Arial" w:hAnsi="Arial" w:cs="Arial"/>
          <w:sz w:val="24"/>
          <w:szCs w:val="24"/>
        </w:rPr>
        <w:t>, a dezbătut și a aprobat măsurile privind organizarea examenului de primire în profesia de avocat</w:t>
      </w:r>
      <w:r w:rsidR="0094622E">
        <w:rPr>
          <w:rFonts w:ascii="Arial" w:hAnsi="Arial" w:cs="Arial"/>
          <w:sz w:val="24"/>
          <w:szCs w:val="24"/>
        </w:rPr>
        <w:t xml:space="preserve">, </w:t>
      </w:r>
      <w:r w:rsidR="0094622E" w:rsidRPr="00340122">
        <w:rPr>
          <w:rFonts w:ascii="Arial" w:hAnsi="Arial" w:cs="Arial"/>
          <w:sz w:val="24"/>
          <w:szCs w:val="24"/>
        </w:rPr>
        <w:t xml:space="preserve">într-o sesiune specială, aprilie </w:t>
      </w:r>
      <w:r w:rsidRPr="00340122">
        <w:rPr>
          <w:rFonts w:ascii="Arial" w:hAnsi="Arial" w:cs="Arial"/>
          <w:sz w:val="24"/>
          <w:szCs w:val="24"/>
        </w:rPr>
        <w:t>20</w:t>
      </w:r>
      <w:r w:rsidR="00551DA1" w:rsidRPr="00340122">
        <w:rPr>
          <w:rFonts w:ascii="Arial" w:hAnsi="Arial" w:cs="Arial"/>
          <w:sz w:val="24"/>
          <w:szCs w:val="24"/>
        </w:rPr>
        <w:t>2</w:t>
      </w:r>
      <w:r w:rsidR="0094622E" w:rsidRPr="00340122">
        <w:rPr>
          <w:rFonts w:ascii="Arial" w:hAnsi="Arial" w:cs="Arial"/>
          <w:sz w:val="24"/>
          <w:szCs w:val="24"/>
        </w:rPr>
        <w:t>2</w:t>
      </w:r>
      <w:r w:rsidR="00AB2DAC" w:rsidRPr="00340122">
        <w:rPr>
          <w:rFonts w:ascii="Arial" w:hAnsi="Arial" w:cs="Arial"/>
          <w:sz w:val="24"/>
          <w:szCs w:val="24"/>
        </w:rPr>
        <w:t>,</w:t>
      </w:r>
      <w:r w:rsidRPr="00340122">
        <w:rPr>
          <w:rFonts w:ascii="Arial" w:hAnsi="Arial" w:cs="Arial"/>
          <w:sz w:val="24"/>
          <w:szCs w:val="24"/>
        </w:rPr>
        <w:t xml:space="preserve"> și a adoptat următoarea</w:t>
      </w:r>
      <w:r w:rsidRPr="00AD3F9E">
        <w:rPr>
          <w:rFonts w:ascii="Arial" w:hAnsi="Arial" w:cs="Arial"/>
          <w:sz w:val="24"/>
          <w:szCs w:val="24"/>
        </w:rPr>
        <w:t xml:space="preserve">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330E2C50" w:rsidR="005B1F81" w:rsidRPr="00F10599" w:rsidRDefault="00C36D92" w:rsidP="00F10599">
      <w:pPr>
        <w:jc w:val="center"/>
        <w:rPr>
          <w:rFonts w:ascii="Arial" w:hAnsi="Arial" w:cs="Arial"/>
          <w:b/>
          <w:sz w:val="28"/>
          <w:szCs w:val="28"/>
        </w:rPr>
      </w:pPr>
      <w:r w:rsidRPr="00F10599">
        <w:rPr>
          <w:rFonts w:ascii="Arial" w:hAnsi="Arial" w:cs="Arial"/>
          <w:b/>
          <w:sz w:val="28"/>
          <w:szCs w:val="28"/>
        </w:rPr>
        <w:t>HOTĂRÂRE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38915DFF"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94622E">
        <w:rPr>
          <w:rFonts w:ascii="Arial" w:hAnsi="Arial" w:cs="Arial"/>
          <w:sz w:val="24"/>
          <w:szCs w:val="24"/>
        </w:rPr>
        <w:t>3 aprilie 2022</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691253">
        <w:rPr>
          <w:rFonts w:ascii="Arial" w:hAnsi="Arial" w:cs="Arial"/>
          <w:sz w:val="24"/>
          <w:szCs w:val="24"/>
        </w:rPr>
        <w:t>),</w:t>
      </w:r>
      <w:r w:rsidR="00691253" w:rsidRPr="00691253">
        <w:rPr>
          <w:rFonts w:ascii="Arial" w:hAnsi="Arial" w:cs="Arial"/>
          <w:sz w:val="24"/>
          <w:szCs w:val="24"/>
        </w:rPr>
        <w:t xml:space="preserve"> </w:t>
      </w:r>
      <w:r w:rsidR="00691253">
        <w:rPr>
          <w:rFonts w:ascii="Arial" w:hAnsi="Arial" w:cs="Arial"/>
          <w:sz w:val="24"/>
          <w:szCs w:val="24"/>
        </w:rPr>
        <w:t>la Complexul expozițional ROMEXPO</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1AD1E665" w14:textId="2F206B88"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și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1E0A51BE"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și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36FA52E3"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691253">
        <w:rPr>
          <w:rFonts w:ascii="Arial" w:hAnsi="Arial" w:cs="Arial"/>
          <w:sz w:val="24"/>
          <w:szCs w:val="24"/>
        </w:rPr>
        <w:t>18</w:t>
      </w:r>
      <w:r w:rsidR="00691253" w:rsidRPr="00AD3F9E">
        <w:rPr>
          <w:rFonts w:ascii="Arial" w:hAnsi="Arial" w:cs="Arial"/>
          <w:sz w:val="24"/>
          <w:szCs w:val="24"/>
        </w:rPr>
        <w:t xml:space="preserve"> </w:t>
      </w:r>
      <w:r w:rsidR="00691253">
        <w:rPr>
          <w:rFonts w:ascii="Arial" w:hAnsi="Arial" w:cs="Arial"/>
          <w:sz w:val="24"/>
          <w:szCs w:val="24"/>
        </w:rPr>
        <w:t>martie</w:t>
      </w:r>
      <w:r w:rsidR="00691253" w:rsidRPr="00AD3F9E">
        <w:rPr>
          <w:rFonts w:ascii="Arial" w:hAnsi="Arial" w:cs="Arial"/>
          <w:sz w:val="24"/>
          <w:szCs w:val="24"/>
        </w:rPr>
        <w:t xml:space="preserve"> 20</w:t>
      </w:r>
      <w:r w:rsidR="00691253">
        <w:rPr>
          <w:rFonts w:ascii="Arial" w:hAnsi="Arial" w:cs="Arial"/>
          <w:sz w:val="24"/>
          <w:szCs w:val="24"/>
        </w:rPr>
        <w:t>22</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691253">
        <w:rPr>
          <w:rFonts w:ascii="Arial" w:hAnsi="Arial" w:cs="Arial"/>
          <w:sz w:val="24"/>
          <w:szCs w:val="24"/>
        </w:rPr>
        <w:t>25 martie</w:t>
      </w:r>
      <w:r w:rsidR="00691253" w:rsidRPr="00AD3F9E">
        <w:rPr>
          <w:rFonts w:ascii="Arial" w:hAnsi="Arial" w:cs="Arial"/>
          <w:sz w:val="24"/>
          <w:szCs w:val="24"/>
        </w:rPr>
        <w:t xml:space="preserve"> 20</w:t>
      </w:r>
      <w:r w:rsidR="00691253">
        <w:rPr>
          <w:rFonts w:ascii="Arial" w:hAnsi="Arial" w:cs="Arial"/>
          <w:sz w:val="24"/>
          <w:szCs w:val="24"/>
        </w:rPr>
        <w:t>22</w:t>
      </w:r>
      <w:r w:rsidR="00691253" w:rsidRPr="00AD3F9E">
        <w:rPr>
          <w:rFonts w:ascii="Arial" w:hAnsi="Arial" w:cs="Arial"/>
          <w:sz w:val="24"/>
          <w:szCs w:val="24"/>
        </w:rPr>
        <w:t>, la convocarea Președintelui U.N.B.R., va avea loc ședința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xml:space="preserve">" a Comisiei de examen din avocați - cadre didactice universitare cu o vechime în </w:t>
      </w:r>
      <w:r w:rsidR="00691253" w:rsidRPr="00AD3F9E">
        <w:rPr>
          <w:rFonts w:ascii="Arial" w:hAnsi="Arial" w:cs="Arial"/>
          <w:sz w:val="24"/>
          <w:szCs w:val="24"/>
        </w:rPr>
        <w:lastRenderedPageBreak/>
        <w:t>profesie de 10 ani se interpretează în limitele impuse de art. 17 alin. (4)  din Lege în sensul că, în condițiile în care între cei propuși să facă parte din comisia de examen se află și avocați - cadre didactice, aceștia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086737C"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094B0F">
        <w:rPr>
          <w:rFonts w:ascii="Arial" w:hAnsi="Arial" w:cs="Arial"/>
          <w:sz w:val="24"/>
          <w:szCs w:val="24"/>
        </w:rPr>
        <w:t>14</w:t>
      </w:r>
      <w:r w:rsidR="00CC1D65">
        <w:rPr>
          <w:rFonts w:ascii="Arial" w:hAnsi="Arial" w:cs="Arial"/>
          <w:sz w:val="24"/>
          <w:szCs w:val="24"/>
        </w:rPr>
        <w:t xml:space="preserve"> </w:t>
      </w:r>
      <w:r w:rsidR="00CC1D65" w:rsidRPr="00CC1D65">
        <w:rPr>
          <w:rFonts w:ascii="Arial" w:hAnsi="Arial" w:cs="Arial"/>
          <w:sz w:val="24"/>
          <w:szCs w:val="24"/>
        </w:rPr>
        <w:t>februarie</w:t>
      </w:r>
      <w:r w:rsidR="00335FC9" w:rsidRPr="00CC1D65">
        <w:rPr>
          <w:rFonts w:ascii="Arial" w:hAnsi="Arial" w:cs="Arial"/>
          <w:sz w:val="24"/>
          <w:szCs w:val="24"/>
        </w:rPr>
        <w:t xml:space="preserve"> </w:t>
      </w:r>
      <w:r w:rsidR="00D80BD3"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Pr="00CC1D65">
        <w:rPr>
          <w:rFonts w:ascii="Arial" w:hAnsi="Arial" w:cs="Arial"/>
          <w:sz w:val="24"/>
          <w:szCs w:val="24"/>
        </w:rPr>
        <w:t xml:space="preserve"> </w:t>
      </w:r>
      <w:r w:rsidR="006127C8" w:rsidRPr="00CC1D65">
        <w:rPr>
          <w:rFonts w:ascii="Arial" w:hAnsi="Arial" w:cs="Arial"/>
          <w:sz w:val="24"/>
          <w:szCs w:val="24"/>
        </w:rPr>
        <w:t>(ora 8.00) –</w:t>
      </w:r>
      <w:r w:rsidRPr="00CC1D65">
        <w:rPr>
          <w:rFonts w:ascii="Arial" w:hAnsi="Arial" w:cs="Arial"/>
          <w:sz w:val="24"/>
          <w:szCs w:val="24"/>
        </w:rPr>
        <w:t xml:space="preserve"> </w:t>
      </w:r>
      <w:r w:rsidR="00094B0F">
        <w:rPr>
          <w:rFonts w:ascii="Arial" w:hAnsi="Arial" w:cs="Arial"/>
          <w:sz w:val="24"/>
          <w:szCs w:val="24"/>
        </w:rPr>
        <w:t>11</w:t>
      </w:r>
      <w:r w:rsidR="00CC1D65" w:rsidRPr="00CC1D65">
        <w:rPr>
          <w:rFonts w:ascii="Arial" w:hAnsi="Arial" w:cs="Arial"/>
          <w:sz w:val="24"/>
          <w:szCs w:val="24"/>
        </w:rPr>
        <w:t xml:space="preserve"> martie</w:t>
      </w:r>
      <w:r w:rsidR="008D029E" w:rsidRPr="00CC1D65">
        <w:rPr>
          <w:rFonts w:ascii="Arial" w:hAnsi="Arial" w:cs="Arial"/>
          <w:sz w:val="24"/>
          <w:szCs w:val="24"/>
        </w:rPr>
        <w:t xml:space="preserve"> </w:t>
      </w:r>
      <w:r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006127C8" w:rsidRPr="00CC1D65">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5663DAB9"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094B0F" w:rsidRPr="00094B0F">
        <w:rPr>
          <w:rFonts w:ascii="Arial" w:hAnsi="Arial" w:cs="Arial"/>
          <w:szCs w:val="24"/>
        </w:rPr>
        <w:t>11</w:t>
      </w:r>
      <w:r w:rsidR="00CC1D65" w:rsidRPr="00094B0F">
        <w:rPr>
          <w:rFonts w:ascii="Arial" w:hAnsi="Arial" w:cs="Arial"/>
          <w:szCs w:val="24"/>
        </w:rPr>
        <w:t xml:space="preserve"> martie</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Pr="00094B0F">
        <w:rPr>
          <w:rFonts w:ascii="Arial" w:hAnsi="Arial" w:cs="Arial"/>
          <w:szCs w:val="24"/>
        </w:rPr>
        <w:t xml:space="preserve"> </w:t>
      </w:r>
      <w:r w:rsidR="00335FC9" w:rsidRPr="00094B0F">
        <w:rPr>
          <w:rFonts w:ascii="Arial" w:hAnsi="Arial" w:cs="Arial"/>
          <w:szCs w:val="24"/>
        </w:rPr>
        <w:t xml:space="preserve">– </w:t>
      </w:r>
      <w:r w:rsidR="00CC1D65" w:rsidRPr="00094B0F">
        <w:rPr>
          <w:rFonts w:ascii="Arial" w:hAnsi="Arial" w:cs="Arial"/>
          <w:szCs w:val="24"/>
        </w:rPr>
        <w:t>1</w:t>
      </w:r>
      <w:r w:rsidR="00094B0F" w:rsidRPr="00094B0F">
        <w:rPr>
          <w:rFonts w:ascii="Arial" w:hAnsi="Arial" w:cs="Arial"/>
          <w:szCs w:val="24"/>
        </w:rPr>
        <w:t>8</w:t>
      </w:r>
      <w:r w:rsidR="00CC1D65" w:rsidRPr="00094B0F">
        <w:rPr>
          <w:rFonts w:ascii="Arial" w:hAnsi="Arial" w:cs="Arial"/>
          <w:szCs w:val="24"/>
        </w:rPr>
        <w:t xml:space="preserve"> martie</w:t>
      </w:r>
      <w:r w:rsidR="006127C8" w:rsidRPr="00094B0F">
        <w:rPr>
          <w:rFonts w:ascii="Arial" w:hAnsi="Arial" w:cs="Arial"/>
          <w:szCs w:val="24"/>
        </w:rPr>
        <w:t xml:space="preserve"> 20</w:t>
      </w:r>
      <w:r w:rsidR="00515B34" w:rsidRPr="00094B0F">
        <w:rPr>
          <w:rFonts w:ascii="Arial" w:hAnsi="Arial" w:cs="Arial"/>
          <w:szCs w:val="24"/>
        </w:rPr>
        <w:t>2</w:t>
      </w:r>
      <w:r w:rsidR="00AE1D9D" w:rsidRPr="00094B0F">
        <w:rPr>
          <w:rFonts w:ascii="Arial" w:hAnsi="Arial" w:cs="Arial"/>
          <w:szCs w:val="24"/>
        </w:rPr>
        <w:t>2</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7B32B56D"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CC1D65">
        <w:rPr>
          <w:rFonts w:ascii="Arial" w:hAnsi="Arial" w:cs="Arial"/>
          <w:szCs w:val="24"/>
        </w:rPr>
        <w:t>ii</w:t>
      </w:r>
      <w:r w:rsidRPr="00AD3F9E">
        <w:rPr>
          <w:rFonts w:ascii="Arial" w:hAnsi="Arial" w:cs="Arial"/>
          <w:szCs w:val="24"/>
        </w:rPr>
        <w:t xml:space="preserve"> 20</w:t>
      </w:r>
      <w:r w:rsidR="00515B34">
        <w:rPr>
          <w:rFonts w:ascii="Arial" w:hAnsi="Arial" w:cs="Arial"/>
          <w:szCs w:val="24"/>
        </w:rPr>
        <w:t>2</w:t>
      </w:r>
      <w:r w:rsidR="00D738F1">
        <w:rPr>
          <w:rFonts w:ascii="Arial" w:hAnsi="Arial" w:cs="Arial"/>
          <w:szCs w:val="24"/>
        </w:rPr>
        <w:t>1</w:t>
      </w:r>
      <w:r w:rsidR="00CC1D65">
        <w:rPr>
          <w:rFonts w:ascii="Arial" w:hAnsi="Arial" w:cs="Arial"/>
          <w:szCs w:val="24"/>
        </w:rPr>
        <w:t xml:space="preserve"> și </w:t>
      </w:r>
      <w:r w:rsidR="00AE1D9D" w:rsidRPr="00CC1D65">
        <w:rPr>
          <w:rFonts w:ascii="Arial" w:hAnsi="Arial" w:cs="Arial"/>
          <w:szCs w:val="24"/>
        </w:rPr>
        <w:t>2022</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09CA1AA0"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9"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Pr>
          <w:rStyle w:val="FootnoteReference"/>
          <w:rFonts w:ascii="Arial" w:eastAsia="Calibri" w:hAnsi="Arial" w:cs="Arial"/>
          <w:sz w:val="24"/>
          <w:szCs w:val="24"/>
        </w:rPr>
        <w:footnoteReference w:id="3"/>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704F13E7"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516DE7">
        <w:rPr>
          <w:rFonts w:ascii="Arial" w:hAnsi="Arial" w:cs="Arial"/>
          <w:sz w:val="24"/>
          <w:szCs w:val="24"/>
        </w:rPr>
        <w:t>aprilie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respectiv „Taxă examen primire în profesie ca avocat definitiv, sesiunea </w:t>
      </w:r>
      <w:r w:rsidR="00516DE7">
        <w:rPr>
          <w:rFonts w:ascii="Arial" w:hAnsi="Arial" w:cs="Arial"/>
          <w:sz w:val="24"/>
          <w:szCs w:val="24"/>
        </w:rPr>
        <w:t>aprilie</w:t>
      </w:r>
      <w:r w:rsidRPr="00AD3F9E">
        <w:rPr>
          <w:rFonts w:ascii="Arial" w:hAnsi="Arial" w:cs="Arial"/>
          <w:sz w:val="24"/>
          <w:szCs w:val="24"/>
        </w:rPr>
        <w:t xml:space="preserve"> 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320F0DCD"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47F5813E"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Se mandatează Comisia Permanentă să </w:t>
      </w:r>
      <w:r w:rsidR="00AB2DAC" w:rsidRPr="00330F7E">
        <w:rPr>
          <w:rFonts w:ascii="Arial" w:hAnsi="Arial" w:cs="Arial"/>
          <w:sz w:val="24"/>
          <w:szCs w:val="24"/>
        </w:rPr>
        <w:t>îndeplinească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celelalte aspecte legate de organizarea și validarea examenului de primire în profesie, urmând ca deciziile Comisiei Permanente să fie supuse ratificării de către Consiliul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306BF34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10"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6488F095" w14:textId="53E0073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0014C2D" w14:textId="77777777" w:rsidR="00F10599" w:rsidRDefault="00F10599" w:rsidP="00F10599">
      <w:pPr>
        <w:jc w:val="center"/>
        <w:rPr>
          <w:rFonts w:ascii="Arial" w:hAnsi="Arial" w:cs="Arial"/>
          <w:b/>
          <w:szCs w:val="24"/>
        </w:rPr>
      </w:pPr>
    </w:p>
    <w:p w14:paraId="01C76A0D" w14:textId="5CD4341C" w:rsidR="00F10599" w:rsidRDefault="00D82837" w:rsidP="00F10599">
      <w:pPr>
        <w:jc w:val="center"/>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r w:rsidR="00F10599">
        <w:rPr>
          <w:rFonts w:ascii="Arial" w:eastAsia="SimSun" w:hAnsi="Arial" w:cs="Arial"/>
          <w:b/>
          <w:bCs/>
          <w:i/>
          <w:szCs w:val="24"/>
          <w:lang w:eastAsia="zh-CN"/>
        </w:rPr>
        <w:br w:type="page"/>
      </w:r>
    </w:p>
    <w:p w14:paraId="02FD8429" w14:textId="0690F303" w:rsidR="00982530" w:rsidRPr="00AD3F9E" w:rsidRDefault="00AD3F9E" w:rsidP="00F10599">
      <w:pPr>
        <w:spacing w:after="60"/>
        <w:jc w:val="right"/>
        <w:rPr>
          <w:rFonts w:ascii="Arial" w:eastAsia="SimSun" w:hAnsi="Arial" w:cs="Arial"/>
          <w:b/>
          <w:bCs/>
          <w:i/>
          <w:szCs w:val="24"/>
          <w:lang w:eastAsia="zh-CN"/>
        </w:rPr>
      </w:pPr>
      <w:r w:rsidRPr="00AD3F9E">
        <w:rPr>
          <w:rFonts w:ascii="Arial" w:eastAsia="SimSun" w:hAnsi="Arial" w:cs="Arial"/>
          <w:b/>
          <w:bCs/>
          <w:i/>
          <w:szCs w:val="24"/>
          <w:lang w:eastAsia="zh-CN"/>
        </w:rPr>
        <w:lastRenderedPageBreak/>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AB2DAC">
        <w:rPr>
          <w:rFonts w:ascii="Arial" w:eastAsia="SimSun" w:hAnsi="Arial" w:cs="Arial"/>
          <w:b/>
          <w:bCs/>
          <w:i/>
          <w:szCs w:val="24"/>
          <w:lang w:eastAsia="zh-CN"/>
        </w:rPr>
        <w:t>230</w:t>
      </w:r>
      <w:r w:rsidR="00A226A7">
        <w:rPr>
          <w:rFonts w:ascii="Arial" w:eastAsia="SimSun" w:hAnsi="Arial" w:cs="Arial"/>
          <w:b/>
          <w:bCs/>
          <w:i/>
          <w:szCs w:val="24"/>
          <w:lang w:eastAsia="zh-CN"/>
        </w:rPr>
        <w:t xml:space="preserve"> </w:t>
      </w:r>
      <w:r w:rsidRPr="00AD3F9E">
        <w:rPr>
          <w:rFonts w:ascii="Arial" w:eastAsia="SimSun" w:hAnsi="Arial" w:cs="Arial"/>
          <w:b/>
          <w:bCs/>
          <w:i/>
          <w:szCs w:val="24"/>
          <w:lang w:eastAsia="zh-CN"/>
        </w:rPr>
        <w:t xml:space="preserve">din </w:t>
      </w:r>
      <w:r w:rsidR="00515B34">
        <w:rPr>
          <w:rFonts w:ascii="Arial" w:eastAsia="SimSun" w:hAnsi="Arial" w:cs="Arial"/>
          <w:b/>
          <w:bCs/>
          <w:i/>
          <w:szCs w:val="24"/>
          <w:lang w:eastAsia="zh-CN"/>
        </w:rPr>
        <w:t>1</w:t>
      </w:r>
      <w:r w:rsidR="00AB2DAC">
        <w:rPr>
          <w:rFonts w:ascii="Arial" w:eastAsia="SimSun" w:hAnsi="Arial" w:cs="Arial"/>
          <w:b/>
          <w:bCs/>
          <w:i/>
          <w:szCs w:val="24"/>
          <w:lang w:eastAsia="zh-CN"/>
        </w:rPr>
        <w:t>0-11</w:t>
      </w:r>
      <w:r w:rsidRPr="00AD3F9E">
        <w:rPr>
          <w:rFonts w:ascii="Arial" w:eastAsia="SimSun" w:hAnsi="Arial" w:cs="Arial"/>
          <w:b/>
          <w:bCs/>
          <w:i/>
          <w:szCs w:val="24"/>
          <w:lang w:eastAsia="zh-CN"/>
        </w:rPr>
        <w:t>.</w:t>
      </w:r>
      <w:r w:rsidR="00AB2DAC">
        <w:rPr>
          <w:rFonts w:ascii="Arial" w:eastAsia="SimSun" w:hAnsi="Arial" w:cs="Arial"/>
          <w:b/>
          <w:bCs/>
          <w:i/>
          <w:szCs w:val="24"/>
          <w:lang w:eastAsia="zh-CN"/>
        </w:rPr>
        <w:t>12</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244065">
        <w:rPr>
          <w:rFonts w:ascii="Arial" w:eastAsia="SimSun" w:hAnsi="Arial" w:cs="Arial"/>
          <w:b/>
          <w:bCs/>
          <w:i/>
          <w:szCs w:val="24"/>
          <w:lang w:eastAsia="zh-CN"/>
        </w:rPr>
        <w:t>1</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1"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6059B580"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szCs w:val="24"/>
        </w:rPr>
        <w:t>3</w:t>
      </w:r>
      <w:r w:rsidRPr="00330F7E">
        <w:rPr>
          <w:rFonts w:ascii="Arial" w:hAnsi="Arial"/>
          <w:szCs w:val="24"/>
        </w:rPr>
        <w:t>1.</w:t>
      </w:r>
      <w:r w:rsidR="00F10599" w:rsidRPr="00330F7E">
        <w:rPr>
          <w:rFonts w:ascii="Arial" w:hAnsi="Arial"/>
          <w:szCs w:val="24"/>
        </w:rPr>
        <w:t>12</w:t>
      </w:r>
      <w:r w:rsidRPr="00330F7E">
        <w:rPr>
          <w:rFonts w:ascii="Arial" w:hAnsi="Arial"/>
          <w:szCs w:val="24"/>
        </w:rPr>
        <w:t>.20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9282D7" w14:textId="5CF5936C"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w:t>
      </w:r>
      <w:r w:rsidRPr="00330F7E">
        <w:rPr>
          <w:rFonts w:ascii="Arial" w:hAnsi="Arial" w:cs="Arial"/>
          <w:szCs w:val="24"/>
        </w:rPr>
        <w:t xml:space="preserve">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F495165" w14:textId="19082DF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w:t>
      </w:r>
      <w:r w:rsidRPr="00330F7E">
        <w:rPr>
          <w:rFonts w:ascii="Arial" w:hAnsi="Arial" w:cs="Arial"/>
          <w:szCs w:val="24"/>
        </w:rPr>
        <w:t>.</w:t>
      </w:r>
      <w:r w:rsidR="00AA598D" w:rsidRPr="00330F7E">
        <w:rPr>
          <w:rFonts w:ascii="Arial" w:hAnsi="Arial" w:cs="Arial"/>
          <w:szCs w:val="24"/>
        </w:rPr>
        <w:t>202</w:t>
      </w:r>
      <w:r w:rsidR="00244065" w:rsidRPr="00330F7E">
        <w:rPr>
          <w:rFonts w:ascii="Arial" w:hAnsi="Arial" w:cs="Arial"/>
          <w:szCs w:val="24"/>
        </w:rPr>
        <w:t>1</w:t>
      </w:r>
      <w:r w:rsidRPr="00330F7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1FF7135" w14:textId="47F834E4"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 w:val="24"/>
          <w:szCs w:val="24"/>
        </w:rPr>
        <w:t xml:space="preserve">de </w:t>
      </w:r>
      <w:r w:rsidR="00F10599" w:rsidRPr="00330F7E">
        <w:rPr>
          <w:rFonts w:ascii="Arial" w:hAnsi="Arial" w:cs="Arial"/>
          <w:sz w:val="24"/>
          <w:szCs w:val="24"/>
        </w:rPr>
        <w:t>31.12.</w:t>
      </w:r>
      <w:r w:rsidR="00AA598D" w:rsidRPr="00330F7E">
        <w:rPr>
          <w:rFonts w:ascii="Arial" w:hAnsi="Arial" w:cs="Arial"/>
          <w:sz w:val="24"/>
          <w:szCs w:val="24"/>
        </w:rPr>
        <w:t>202</w:t>
      </w:r>
      <w:r w:rsidR="00244065" w:rsidRPr="00330F7E">
        <w:rPr>
          <w:rFonts w:ascii="Arial" w:hAnsi="Arial" w:cs="Arial"/>
          <w:sz w:val="24"/>
          <w:szCs w:val="24"/>
        </w:rPr>
        <w:t>1</w:t>
      </w:r>
      <w:r w:rsidRPr="00330F7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79D219E" w14:textId="22F09600"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Raporturile avocaților cu clienții. Hotărârea CEDO din 23 aprilie 2015 în Cauza Morice/c/Franța,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nr.462 din 17 septembrie 2014 a Curții Constituționale referitoare la obligativitatea formulării și susținerii cererii de recurs prin avocat, publicată în M.Of.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485 din 23 iunie 2015 a Curții Constituționale privind constituționalitatea art. 13, 64 și 486 C.proc.civ, publicată în M.Of.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şi orice altă </w:t>
      </w:r>
      <w:r w:rsidRPr="00AD3F9E">
        <w:rPr>
          <w:rFonts w:ascii="Arial" w:hAnsi="Arial"/>
          <w:szCs w:val="24"/>
        </w:rPr>
        <w:lastRenderedPageBreak/>
        <w:t>documentație în care se tratează tematica menționată, precum şi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2"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4AF54602" w:rsidR="00094D76" w:rsidRPr="00AD3F9E" w:rsidRDefault="00094D76" w:rsidP="00094D76">
      <w:pPr>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lastRenderedPageBreak/>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lastRenderedPageBreak/>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5047C45" w14:textId="739D7C3C"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lastRenderedPageBreak/>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Forma cererilor. Citarea şi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w:t>
      </w:r>
      <w:r w:rsidRPr="00AD3F9E">
        <w:rPr>
          <w:rFonts w:ascii="Arial" w:hAnsi="Arial"/>
          <w:szCs w:val="24"/>
        </w:rPr>
        <w:lastRenderedPageBreak/>
        <w:t>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02F507DF" w14:textId="4546AFDE"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szCs w:val="24"/>
        </w:rPr>
        <w:t xml:space="preserve">de </w:t>
      </w:r>
      <w:r w:rsidR="001108F5" w:rsidRPr="00330F7E">
        <w:rPr>
          <w:rFonts w:ascii="Arial" w:hAnsi="Arial"/>
          <w:szCs w:val="24"/>
        </w:rPr>
        <w:t>31.12.2021.</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77BC1D71" w14:textId="77777777" w:rsidR="001108F5" w:rsidRDefault="001108F5" w:rsidP="00056AE7">
      <w:pPr>
        <w:tabs>
          <w:tab w:val="left" w:pos="-3240"/>
        </w:tabs>
        <w:spacing w:after="60"/>
        <w:jc w:val="center"/>
        <w:rPr>
          <w:rFonts w:ascii="Arial" w:hAnsi="Arial" w:cs="Arial"/>
          <w:b/>
          <w:szCs w:val="24"/>
        </w:rPr>
      </w:pPr>
    </w:p>
    <w:p w14:paraId="5E97D687" w14:textId="43D5AF8A"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lastRenderedPageBreak/>
        <w:t>Infracțiuni ce aduc atingere domiciliului şi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 cap II:  art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6C4A35D8"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31.12.2021.</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35A0665" w14:textId="0C62B034"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F10599">
      <w:footerReference w:type="even" r:id="rId13"/>
      <w:footerReference w:type="default" r:id="rId14"/>
      <w:pgSz w:w="11906" w:h="16838" w:code="9"/>
      <w:pgMar w:top="720" w:right="849" w:bottom="720" w:left="1276"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ED2" w16cex:dateUtc="2021-12-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01571" w16cid:durableId="25686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902AC" w14:textId="77777777" w:rsidR="00BA314F" w:rsidRDefault="00BA314F">
      <w:r>
        <w:separator/>
      </w:r>
    </w:p>
  </w:endnote>
  <w:endnote w:type="continuationSeparator" w:id="0">
    <w:p w14:paraId="1D734C12" w14:textId="77777777" w:rsidR="00BA314F" w:rsidRDefault="00BA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2522"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340122" w:rsidRDefault="00340122" w:rsidP="005E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7D03"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436">
      <w:rPr>
        <w:rStyle w:val="PageNumber"/>
        <w:noProof/>
      </w:rPr>
      <w:t>1</w:t>
    </w:r>
    <w:r>
      <w:rPr>
        <w:rStyle w:val="PageNumber"/>
      </w:rPr>
      <w:fldChar w:fldCharType="end"/>
    </w:r>
  </w:p>
  <w:p w14:paraId="7C64D339" w14:textId="77777777" w:rsidR="00340122" w:rsidRDefault="00340122" w:rsidP="005E37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BEA05" w14:textId="77777777" w:rsidR="00BA314F" w:rsidRDefault="00BA314F">
      <w:r>
        <w:separator/>
      </w:r>
    </w:p>
  </w:footnote>
  <w:footnote w:type="continuationSeparator" w:id="0">
    <w:p w14:paraId="0AF17B58" w14:textId="77777777" w:rsidR="00BA314F" w:rsidRDefault="00BA314F">
      <w:r>
        <w:continuationSeparator/>
      </w:r>
    </w:p>
  </w:footnote>
  <w:footnote w:id="1">
    <w:p w14:paraId="0B7A9743" w14:textId="39C0B3C5" w:rsidR="00340122" w:rsidRPr="003E6F3C" w:rsidRDefault="00340122" w:rsidP="002D7F06">
      <w:pPr>
        <w:pStyle w:val="BodyText"/>
        <w:spacing w:line="240" w:lineRule="auto"/>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 cazul în care, în virtutea unor dispoziții normative impuse de protecția sănătății populației, organizarea în sistem fizic a examenului nu va fi posibilă, acesta nu se va mai desfășura</w:t>
      </w:r>
      <w:r w:rsidR="00E535F8" w:rsidRPr="003E6F3C">
        <w:rPr>
          <w:rFonts w:ascii="Arial" w:hAnsi="Arial" w:cs="Arial"/>
          <w:sz w:val="18"/>
          <w:szCs w:val="18"/>
        </w:rPr>
        <w:t xml:space="preserve">. </w:t>
      </w:r>
    </w:p>
  </w:footnote>
  <w:footnote w:id="2">
    <w:p w14:paraId="44B646C3" w14:textId="09A21991" w:rsidR="00340122" w:rsidRPr="003E6F3C" w:rsidRDefault="00340122"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3">
    <w:p w14:paraId="296C13EA" w14:textId="4395EEA5" w:rsidR="00D2380A" w:rsidRDefault="00D2380A" w:rsidP="002D7F06">
      <w:pPr>
        <w:pStyle w:val="FootnoteText"/>
        <w:jc w:val="both"/>
      </w:pPr>
      <w:r>
        <w:rPr>
          <w:rStyle w:val="FootnoteReference"/>
        </w:rPr>
        <w:footnoteRef/>
      </w:r>
      <w:r>
        <w:t xml:space="preserve"> Candidații admiși la examenul din data de 3.04.2022 vor fi înmatriculați în anul I de formare inițială al I.N.P.P.A. care va începe în anul 2023, dacă vor fi înscriși în tabloul avocaților până la data de referință stabilită de Consiliul de conducere al I.N.P.P.A. pentru luarea în evidență a cursanților anului I de formare inițială al I.N.P.P.A. din ciclul 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C0"/>
    <w:rsid w:val="00000EB8"/>
    <w:rsid w:val="00002147"/>
    <w:rsid w:val="000021A4"/>
    <w:rsid w:val="000035E6"/>
    <w:rsid w:val="00010E10"/>
    <w:rsid w:val="00013561"/>
    <w:rsid w:val="00017401"/>
    <w:rsid w:val="00031741"/>
    <w:rsid w:val="00056AE7"/>
    <w:rsid w:val="000579AA"/>
    <w:rsid w:val="00063236"/>
    <w:rsid w:val="000871F9"/>
    <w:rsid w:val="00093B86"/>
    <w:rsid w:val="00094B0F"/>
    <w:rsid w:val="00094D76"/>
    <w:rsid w:val="00095C5E"/>
    <w:rsid w:val="0009781B"/>
    <w:rsid w:val="000A06C1"/>
    <w:rsid w:val="000A3077"/>
    <w:rsid w:val="000B1BD7"/>
    <w:rsid w:val="000C23C1"/>
    <w:rsid w:val="000C5B5D"/>
    <w:rsid w:val="000C7C99"/>
    <w:rsid w:val="000D3996"/>
    <w:rsid w:val="000E00DE"/>
    <w:rsid w:val="000E7819"/>
    <w:rsid w:val="001021C3"/>
    <w:rsid w:val="001108F5"/>
    <w:rsid w:val="00114CFF"/>
    <w:rsid w:val="00126B1D"/>
    <w:rsid w:val="0014272A"/>
    <w:rsid w:val="00145F07"/>
    <w:rsid w:val="00145F1F"/>
    <w:rsid w:val="00152F51"/>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1293"/>
    <w:rsid w:val="0029108E"/>
    <w:rsid w:val="00293F74"/>
    <w:rsid w:val="00294A8A"/>
    <w:rsid w:val="002A0D78"/>
    <w:rsid w:val="002A425C"/>
    <w:rsid w:val="002A7ECF"/>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951"/>
    <w:rsid w:val="00686FF6"/>
    <w:rsid w:val="00691253"/>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5436"/>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A314F"/>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7DA8"/>
    <w:rsid w:val="00E52D06"/>
    <w:rsid w:val="00E52E48"/>
    <w:rsid w:val="00E535F8"/>
    <w:rsid w:val="00E5571E"/>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br.ro"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br.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br.ro" TargetMode="External"/><Relationship Id="rId4" Type="http://schemas.microsoft.com/office/2007/relationships/stylesWithEffects" Target="stylesWithEffects.xml"/><Relationship Id="rId9" Type="http://schemas.openxmlformats.org/officeDocument/2006/relationships/hyperlink" Target="https://www.ifep.ro/CandidateFolder.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DCDC-3CC4-4108-B12D-6D1A698D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6648</Words>
  <Characters>37898</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
  <LinksUpToDate>false</LinksUpToDate>
  <CharactersWithSpaces>44458</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2</cp:revision>
  <cp:lastPrinted>2018-06-28T05:29:00Z</cp:lastPrinted>
  <dcterms:created xsi:type="dcterms:W3CDTF">2022-02-08T08:41:00Z</dcterms:created>
  <dcterms:modified xsi:type="dcterms:W3CDTF">2022-02-08T08:41:00Z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